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DA" w:rsidRPr="00712526" w:rsidRDefault="003241DA" w:rsidP="003241DA">
      <w:pPr>
        <w:keepNext/>
        <w:spacing w:before="240" w:after="60" w:line="240" w:lineRule="auto"/>
        <w:jc w:val="center"/>
        <w:outlineLvl w:val="0"/>
        <w:rPr>
          <w:bCs/>
          <w:kern w:val="32"/>
          <w:sz w:val="32"/>
          <w:szCs w:val="32"/>
          <w:lang w:val="uk-UA" w:eastAsia="ru-RU"/>
        </w:rPr>
      </w:pPr>
      <w:r w:rsidRPr="00712526">
        <w:rPr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510540" cy="634365"/>
            <wp:effectExtent l="0" t="0" r="381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1DA" w:rsidRPr="00712526" w:rsidRDefault="003241DA" w:rsidP="00324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12526">
        <w:rPr>
          <w:rFonts w:ascii="Times New Roman" w:hAnsi="Times New Roman"/>
          <w:b/>
          <w:sz w:val="28"/>
          <w:szCs w:val="28"/>
        </w:rPr>
        <w:t>БУЧАНСЬКА     МІСЬКА      РАДА</w:t>
      </w:r>
    </w:p>
    <w:p w:rsidR="003241DA" w:rsidRPr="00712526" w:rsidRDefault="003241DA" w:rsidP="003241D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3241DA" w:rsidRPr="00712526" w:rsidRDefault="003241DA" w:rsidP="00324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>ШІСТДЕСЯТ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ПЕРША</w:t>
      </w:r>
      <w:r w:rsidRPr="00712526">
        <w:rPr>
          <w:rFonts w:ascii="Times New Roman" w:hAnsi="Times New Roman"/>
          <w:b/>
          <w:sz w:val="28"/>
          <w:szCs w:val="28"/>
          <w:lang w:val="uk-UA" w:eastAsia="ru-RU"/>
        </w:rPr>
        <w:t xml:space="preserve"> СЕСІЯ  СЬОМОГО   СКЛИКАННЯ</w:t>
      </w:r>
    </w:p>
    <w:p w:rsidR="003241DA" w:rsidRPr="00712526" w:rsidRDefault="003241DA" w:rsidP="003241DA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  <w:r w:rsidRPr="00712526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712526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>Н</w:t>
      </w:r>
      <w:proofErr w:type="spellEnd"/>
      <w:r w:rsidRPr="00712526"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  <w:t xml:space="preserve">   Я</w:t>
      </w:r>
    </w:p>
    <w:p w:rsidR="003241DA" w:rsidRPr="00712526" w:rsidRDefault="003241DA" w:rsidP="003241DA">
      <w:pPr>
        <w:keepNext/>
        <w:spacing w:before="240" w:after="60" w:line="240" w:lineRule="auto"/>
        <w:jc w:val="center"/>
        <w:outlineLvl w:val="0"/>
        <w:rPr>
          <w:rFonts w:ascii="Times New Roman" w:hAnsi="Times New Roman"/>
          <w:b/>
          <w:bCs/>
          <w:color w:val="000000"/>
          <w:kern w:val="32"/>
          <w:sz w:val="28"/>
          <w:szCs w:val="28"/>
          <w:lang w:val="uk-UA" w:eastAsia="ru-RU"/>
        </w:rPr>
      </w:pPr>
    </w:p>
    <w:p w:rsidR="003241DA" w:rsidRDefault="003241DA" w:rsidP="003241DA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</w:pP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«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27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eastAsia="ru-RU"/>
        </w:rPr>
        <w:t xml:space="preserve">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»  червня  2019 р. 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ab/>
        <w:t xml:space="preserve">                 №   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3570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- 6</w:t>
      </w:r>
      <w:r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1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 xml:space="preserve"> –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en-US" w:eastAsia="ru-RU"/>
        </w:rPr>
        <w:t>V</w:t>
      </w:r>
      <w:r w:rsidRPr="00712526">
        <w:rPr>
          <w:rFonts w:ascii="Times New Roman" w:hAnsi="Times New Roman"/>
          <w:b/>
          <w:bCs/>
          <w:color w:val="000000"/>
          <w:kern w:val="32"/>
          <w:sz w:val="24"/>
          <w:szCs w:val="28"/>
          <w:lang w:val="uk-UA" w:eastAsia="ru-RU"/>
        </w:rPr>
        <w:t>ІІ</w:t>
      </w:r>
    </w:p>
    <w:p w:rsidR="003241DA" w:rsidRPr="009A1FF7" w:rsidRDefault="003241DA" w:rsidP="003241DA">
      <w:pPr>
        <w:keepNext/>
        <w:spacing w:before="240" w:after="60" w:line="240" w:lineRule="auto"/>
        <w:outlineLvl w:val="0"/>
        <w:rPr>
          <w:rFonts w:ascii="Times New Roman" w:hAnsi="Times New Roman"/>
          <w:b/>
          <w:bCs/>
          <w:color w:val="000000"/>
          <w:kern w:val="32"/>
          <w:sz w:val="16"/>
          <w:szCs w:val="16"/>
          <w:lang w:val="uk-UA" w:eastAsia="ru-RU"/>
        </w:rPr>
      </w:pP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Про передачу міжбюджетного</w:t>
      </w: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трансферту на співфінансування об'єктів, </w:t>
      </w: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що фінансуються відповідно до  </w:t>
      </w: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«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Програми будівництва, реконструкції та ремонту</w:t>
      </w: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об'єктів інфраструктури Київської області </w:t>
      </w:r>
    </w:p>
    <w:p w:rsidR="003241DA" w:rsidRPr="00712526" w:rsidRDefault="003241DA" w:rsidP="003241D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 w:eastAsia="ru-RU"/>
        </w:rPr>
        <w:t>на 2016-2019 роки»</w:t>
      </w:r>
    </w:p>
    <w:p w:rsidR="003241DA" w:rsidRPr="00712526" w:rsidRDefault="003241DA" w:rsidP="003241D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3241DA" w:rsidRPr="00712526" w:rsidRDefault="003241DA" w:rsidP="003241D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З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гідно </w:t>
      </w:r>
      <w:r>
        <w:rPr>
          <w:rFonts w:ascii="Times New Roman" w:hAnsi="Times New Roman"/>
          <w:sz w:val="24"/>
          <w:szCs w:val="24"/>
          <w:lang w:val="uk-UA" w:eastAsia="ru-RU"/>
        </w:rPr>
        <w:t>« Програми будівництва, реконструкції та ремонту об</w:t>
      </w:r>
      <w:r>
        <w:rPr>
          <w:rFonts w:ascii="Calibri" w:hAnsi="Calibri" w:cs="Calibri"/>
          <w:sz w:val="24"/>
          <w:szCs w:val="24"/>
          <w:lang w:val="uk-UA" w:eastAsia="ru-RU"/>
        </w:rPr>
        <w:t>'</w:t>
      </w:r>
      <w:r>
        <w:rPr>
          <w:rFonts w:ascii="Times New Roman" w:hAnsi="Times New Roman"/>
          <w:sz w:val="24"/>
          <w:szCs w:val="24"/>
          <w:lang w:val="uk-UA" w:eastAsia="ru-RU"/>
        </w:rPr>
        <w:t>єктів інфраструктури Київської області на 2016-2019 роки ( зі змінами, затвердженими рішенням Київської обласної ради від 30 травня 2019 року № 576-28-</w:t>
      </w:r>
      <w:r>
        <w:rPr>
          <w:rFonts w:ascii="Times New Roman" w:hAnsi="Times New Roman"/>
          <w:sz w:val="24"/>
          <w:szCs w:val="24"/>
          <w:lang w:val="en-US" w:eastAsia="ru-RU"/>
        </w:rPr>
        <w:t>VII</w:t>
      </w:r>
      <w:r>
        <w:rPr>
          <w:rFonts w:ascii="Times New Roman" w:hAnsi="Times New Roman"/>
          <w:sz w:val="24"/>
          <w:szCs w:val="24"/>
          <w:lang w:val="uk-UA" w:eastAsia="ru-RU"/>
        </w:rPr>
        <w:t>), у в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ідповідно</w:t>
      </w:r>
      <w:r>
        <w:rPr>
          <w:rFonts w:ascii="Times New Roman" w:hAnsi="Times New Roman"/>
          <w:sz w:val="24"/>
          <w:szCs w:val="24"/>
          <w:lang w:val="uk-UA" w:eastAsia="ru-RU"/>
        </w:rPr>
        <w:t>сті до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ст. 24-1 та 101 Бюджетного кодексу України,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керуючись Законом України  «Про місцеве самоврядування в Україні», міська рада</w:t>
      </w:r>
    </w:p>
    <w:p w:rsidR="003241DA" w:rsidRPr="00712526" w:rsidRDefault="003241DA" w:rsidP="003241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241DA" w:rsidRDefault="003241DA" w:rsidP="003241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ab/>
        <w:t>ВИРІШИЛА:</w:t>
      </w:r>
    </w:p>
    <w:p w:rsidR="003241DA" w:rsidRPr="00712526" w:rsidRDefault="003241DA" w:rsidP="003241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3241DA" w:rsidRPr="00712526" w:rsidRDefault="003241DA" w:rsidP="003241DA">
      <w:pPr>
        <w:spacing w:after="120" w:line="240" w:lineRule="auto"/>
        <w:ind w:firstLine="900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1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. Передати до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 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обласного бюджету видатки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на</w:t>
      </w: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співфінансування об'єктів,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що фінансуються відповідно до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«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Програми будівництва, реконструкції та ремонту об'єктів інфраструктури Київської області на 2016-2019 роки</w:t>
      </w:r>
      <w:r>
        <w:rPr>
          <w:rFonts w:ascii="Times New Roman" w:hAnsi="Times New Roman"/>
          <w:sz w:val="24"/>
          <w:szCs w:val="24"/>
          <w:lang w:val="uk-UA" w:eastAsia="ru-RU"/>
        </w:rPr>
        <w:t>»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у вигляді міжбюджетного трансферту у сумі </w:t>
      </w:r>
      <w:r>
        <w:rPr>
          <w:rFonts w:ascii="Times New Roman" w:hAnsi="Times New Roman"/>
          <w:sz w:val="24"/>
          <w:szCs w:val="24"/>
          <w:lang w:val="uk-UA" w:eastAsia="ru-RU"/>
        </w:rPr>
        <w:t>1 900 000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,00 грн., а саме: на «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Капітальний ремонт дорожнього покриття по вул. Промислова в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м. Буча Київської області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( в тому числі проектні роботи)»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3241DA" w:rsidRPr="00712526" w:rsidRDefault="003241DA" w:rsidP="003241DA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2.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Доручити Бучанському міському голові укласти відповідн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угод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з Київською обласною радою щодо співфінансування об'єкт</w:t>
      </w:r>
      <w:r>
        <w:rPr>
          <w:rFonts w:ascii="Times New Roman" w:hAnsi="Times New Roman"/>
          <w:sz w:val="24"/>
          <w:szCs w:val="24"/>
          <w:lang w:val="uk-UA" w:eastAsia="ru-RU"/>
        </w:rPr>
        <w:t>у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,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що фінансується відповідно до  «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Програми будівництва, реконструкції та ремонту об'єктів інфраструктури Київської області на 2016-2019 роки</w:t>
      </w:r>
      <w:r>
        <w:rPr>
          <w:rFonts w:ascii="Times New Roman" w:hAnsi="Times New Roman"/>
          <w:sz w:val="24"/>
          <w:szCs w:val="24"/>
          <w:lang w:val="uk-UA" w:eastAsia="ru-RU"/>
        </w:rPr>
        <w:t>»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.</w:t>
      </w:r>
    </w:p>
    <w:p w:rsidR="003241DA" w:rsidRPr="00712526" w:rsidRDefault="003241DA" w:rsidP="003241DA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12526">
        <w:rPr>
          <w:rFonts w:ascii="Times New Roman" w:hAnsi="Times New Roman"/>
          <w:b/>
          <w:sz w:val="24"/>
          <w:szCs w:val="24"/>
          <w:lang w:val="uk-UA" w:eastAsia="ru-RU"/>
        </w:rPr>
        <w:t>3</w:t>
      </w:r>
      <w:r w:rsidRPr="00712526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712526">
        <w:rPr>
          <w:rFonts w:ascii="Times New Roman" w:hAnsi="Times New Roman"/>
          <w:sz w:val="24"/>
          <w:szCs w:val="24"/>
          <w:lang w:eastAsia="ru-RU"/>
        </w:rPr>
        <w:t xml:space="preserve"> Контроль за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виконанням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даного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рішення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покласти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на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постійну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комісію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з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питань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соціально-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економічного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>розвитку</w:t>
      </w:r>
      <w:r w:rsidRPr="00712526">
        <w:rPr>
          <w:rFonts w:ascii="Times New Roman" w:hAnsi="Times New Roman"/>
          <w:sz w:val="24"/>
          <w:szCs w:val="24"/>
          <w:lang w:eastAsia="ru-RU"/>
        </w:rPr>
        <w:t>,</w:t>
      </w:r>
      <w:r w:rsidRPr="00712526">
        <w:rPr>
          <w:rFonts w:ascii="Times New Roman" w:hAnsi="Times New Roman"/>
          <w:sz w:val="24"/>
          <w:szCs w:val="24"/>
          <w:lang w:val="uk-UA" w:eastAsia="ru-RU"/>
        </w:rPr>
        <w:t xml:space="preserve"> підприємництва, житлово-комунального господарства,</w:t>
      </w:r>
      <w:r w:rsidRPr="00712526">
        <w:rPr>
          <w:rFonts w:ascii="Times New Roman" w:hAnsi="Times New Roman"/>
          <w:sz w:val="24"/>
          <w:szCs w:val="24"/>
          <w:lang w:eastAsia="ru-RU"/>
        </w:rPr>
        <w:t xml:space="preserve"> бюджету,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фінансів</w:t>
      </w:r>
      <w:proofErr w:type="spellEnd"/>
      <w:r w:rsidRPr="00712526">
        <w:rPr>
          <w:rFonts w:ascii="Times New Roman" w:hAnsi="Times New Roman"/>
          <w:sz w:val="24"/>
          <w:szCs w:val="24"/>
          <w:lang w:eastAsia="ru-RU"/>
        </w:rPr>
        <w:t xml:space="preserve"> та </w:t>
      </w:r>
      <w:proofErr w:type="spellStart"/>
      <w:r w:rsidRPr="00712526">
        <w:rPr>
          <w:rFonts w:ascii="Times New Roman" w:hAnsi="Times New Roman"/>
          <w:sz w:val="24"/>
          <w:szCs w:val="24"/>
          <w:lang w:eastAsia="ru-RU"/>
        </w:rPr>
        <w:t>інвестування</w:t>
      </w:r>
      <w:proofErr w:type="spellEnd"/>
      <w:r w:rsidRPr="00712526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3241DA" w:rsidRPr="00712526" w:rsidRDefault="003241DA" w:rsidP="003241DA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241DA" w:rsidRPr="00712526" w:rsidRDefault="003241DA" w:rsidP="003241DA">
      <w:pPr>
        <w:spacing w:after="120" w:line="240" w:lineRule="auto"/>
        <w:ind w:firstLine="900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3241DA" w:rsidRPr="00712526" w:rsidRDefault="003241DA" w:rsidP="003241D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712526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Міський голова                                           </w:t>
      </w:r>
      <w:r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</w:t>
      </w:r>
      <w:r w:rsidRPr="00712526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  А.П. Федорук</w:t>
      </w:r>
    </w:p>
    <w:p w:rsidR="003241DA" w:rsidRPr="00712526" w:rsidRDefault="003241DA" w:rsidP="003241D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54"/>
    <w:rsid w:val="003241DA"/>
    <w:rsid w:val="004D4E27"/>
    <w:rsid w:val="00687D71"/>
    <w:rsid w:val="00C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BE9D4-DABC-475A-A5AE-DA3C4829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1DA"/>
    <w:pPr>
      <w:spacing w:after="200" w:line="252" w:lineRule="auto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2019-07-17T13:37:00Z</dcterms:created>
  <dcterms:modified xsi:type="dcterms:W3CDTF">2019-07-17T13:38:00Z</dcterms:modified>
</cp:coreProperties>
</file>